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AAB5" w14:textId="682D5B7B" w:rsidR="00DD1533" w:rsidRPr="007042A7" w:rsidRDefault="00DD1533">
      <w:pPr>
        <w:rPr>
          <w:rFonts w:ascii="Humanst521EUBold" w:hAnsi="Humanst521EUBold"/>
          <w:b/>
          <w:sz w:val="28"/>
          <w:szCs w:val="28"/>
          <w:lang w:val="pl-PL"/>
        </w:rPr>
      </w:pPr>
      <w:r w:rsidRPr="007042A7">
        <w:rPr>
          <w:rFonts w:ascii="Humanst521EUBold" w:hAnsi="Humanst521EUBold"/>
          <w:b/>
          <w:sz w:val="28"/>
          <w:szCs w:val="28"/>
          <w:lang w:val="pl-PL"/>
        </w:rPr>
        <w:t>Przedmioto</w:t>
      </w:r>
      <w:r w:rsidR="007042A7" w:rsidRPr="007042A7">
        <w:rPr>
          <w:rFonts w:ascii="Humanst521EUBold" w:hAnsi="Humanst521EUBold"/>
          <w:b/>
          <w:sz w:val="28"/>
          <w:szCs w:val="28"/>
          <w:lang w:val="pl-PL"/>
        </w:rPr>
        <w:t>wy system oceniania - wymagania na poszczegolne oceny</w:t>
      </w:r>
      <w:bookmarkStart w:id="0" w:name="_GoBack"/>
      <w:bookmarkEnd w:id="0"/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r w:rsidRPr="00477EB6">
        <w:rPr>
          <w:rFonts w:ascii="Times New Roman" w:hAnsi="Times New Roman"/>
          <w:sz w:val="20"/>
          <w:szCs w:val="20"/>
        </w:rPr>
        <w:t>Kursywą oznaczono treści dodatkowe.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7042A7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7042A7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7042A7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7042A7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</w:r>
            <w:r>
              <w:lastRenderedPageBreak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7042A7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7042A7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ciał na podstawie drugiej zasady 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i wykonuje doświadczenie dotyczące pomiaru siły tarcia statycznego 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7042A7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7042A7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t>Rozdział V. Cząsteczki i ciepło</w:t>
            </w:r>
          </w:p>
        </w:tc>
      </w:tr>
      <w:tr w:rsidR="00235434" w:rsidRPr="007042A7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7042A7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t>Rozdział VI. Ciśnienie i siła wyporu</w:t>
            </w:r>
          </w:p>
        </w:tc>
      </w:tr>
      <w:tr w:rsidR="00235434" w:rsidRPr="007042A7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B851" w14:textId="77777777" w:rsidR="00517480" w:rsidRDefault="00517480" w:rsidP="00651C2C">
      <w:r>
        <w:separator/>
      </w:r>
    </w:p>
  </w:endnote>
  <w:endnote w:type="continuationSeparator" w:id="0">
    <w:p w14:paraId="54383ACC" w14:textId="77777777" w:rsidR="00517480" w:rsidRDefault="00517480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4EE75" w14:textId="6E5ED368" w:rsidR="00F94D59" w:rsidRPr="00DD1533" w:rsidRDefault="00F94D59" w:rsidP="00477EB6">
    <w:pPr>
      <w:pStyle w:val="stopkaSc"/>
    </w:pPr>
    <w:r>
      <w:t xml:space="preserve">Autor: </w:t>
    </w:r>
    <w:r w:rsidR="00C32E6C" w:rsidRPr="00477EB6">
      <w:t>Krystyna Bahyrycz, Mirosław Galikowski</w:t>
    </w:r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86E2" w14:textId="77777777" w:rsidR="00517480" w:rsidRDefault="00517480" w:rsidP="00651C2C">
      <w:r>
        <w:separator/>
      </w:r>
    </w:p>
  </w:footnote>
  <w:footnote w:type="continuationSeparator" w:id="0">
    <w:p w14:paraId="3619CEC8" w14:textId="77777777" w:rsidR="00517480" w:rsidRDefault="00517480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C695" w14:textId="77777777" w:rsidR="00F94D59" w:rsidRDefault="00F94D5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B6540D6" w14:textId="1BE7A9D7" w:rsidR="00F94D59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6675218A" w14:textId="77777777" w:rsidR="00F94D59" w:rsidRPr="00477EB6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404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F94D59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6675218A" w14:textId="77777777" w:rsidR="00F94D59" w:rsidRPr="00477EB6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D505883" w14:textId="474D23E6" w:rsidR="00F94D59" w:rsidRPr="00477EB6" w:rsidRDefault="00F94D5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42A7" w:rsidRPr="007042A7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271F8"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14:paraId="7D505883" w14:textId="474D23E6" w:rsidR="00F94D59" w:rsidRPr="00477EB6" w:rsidRDefault="00F94D5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7042A7" w:rsidRPr="007042A7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F94D59" w:rsidRDefault="00F94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E"/>
    <w:rsid w:val="000A4958"/>
    <w:rsid w:val="000F1534"/>
    <w:rsid w:val="00227E59"/>
    <w:rsid w:val="00235434"/>
    <w:rsid w:val="002822D6"/>
    <w:rsid w:val="00477EB6"/>
    <w:rsid w:val="00484BE3"/>
    <w:rsid w:val="004E5F46"/>
    <w:rsid w:val="00513D68"/>
    <w:rsid w:val="00517480"/>
    <w:rsid w:val="00573797"/>
    <w:rsid w:val="00651C2C"/>
    <w:rsid w:val="007042A7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7F1B1D"/>
  <w14:defaultImageDpi w14:val="0"/>
  <w15:docId w15:val="{35E7187B-97E0-4AC5-BE9B-7C6A4F8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302E-48FA-4602-BF9A-6DA7BF2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4565</Words>
  <Characters>31721</Characters>
  <Application>Microsoft Office Word</Application>
  <DocSecurity>0</DocSecurity>
  <Lines>264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Robert Jarzebak</cp:lastModifiedBy>
  <cp:revision>3</cp:revision>
  <dcterms:created xsi:type="dcterms:W3CDTF">2017-09-18T18:54:00Z</dcterms:created>
  <dcterms:modified xsi:type="dcterms:W3CDTF">2017-09-18T18:55:00Z</dcterms:modified>
</cp:coreProperties>
</file>